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widowControl/>
        <w:suppressAutoHyphens w:val="true"/>
        <w:bidi w:val="0"/>
        <w:spacing w:before="0" w:after="0"/>
        <w:ind w:left="0" w:right="0" w:firstLine="4706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DECRETO Nº  </w:t>
      </w:r>
      <w:r>
        <w:rPr>
          <w:b w:val="false"/>
          <w:bCs w:val="false"/>
          <w:sz w:val="24"/>
          <w:szCs w:val="24"/>
        </w:rPr>
        <w:t>10</w:t>
      </w:r>
      <w:r>
        <w:rPr>
          <w:b w:val="false"/>
          <w:bCs w:val="false"/>
          <w:sz w:val="24"/>
          <w:szCs w:val="24"/>
        </w:rPr>
        <w:t xml:space="preserve"> </w:t>
      </w:r>
      <w:r>
        <w:rPr>
          <w:sz w:val="24"/>
          <w:szCs w:val="24"/>
        </w:rPr>
        <w:t>de 1</w:t>
      </w:r>
      <w:r>
        <w:rPr>
          <w:sz w:val="24"/>
          <w:szCs w:val="24"/>
        </w:rPr>
        <w:t>0</w:t>
      </w:r>
      <w:r>
        <w:rPr>
          <w:sz w:val="24"/>
          <w:szCs w:val="24"/>
        </w:rPr>
        <w:t xml:space="preserve"> de </w:t>
      </w:r>
      <w:r>
        <w:rPr>
          <w:sz w:val="24"/>
          <w:szCs w:val="24"/>
        </w:rPr>
        <w:t>março</w:t>
      </w:r>
      <w:r>
        <w:rPr>
          <w:sz w:val="24"/>
          <w:szCs w:val="24"/>
        </w:rPr>
        <w:t xml:space="preserve"> de 2020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rpodotextorecuado"/>
        <w:widowControl/>
        <w:suppressAutoHyphens w:val="true"/>
        <w:bidi w:val="0"/>
        <w:spacing w:before="0" w:after="0"/>
        <w:ind w:left="4762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Dispõe sobre Suplementação de recursos que especifica.</w:t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A PREFEITA DO MUNICÍPIO DE RIBEIRÃO GRANDE</w:t>
      </w:r>
      <w:r>
        <w:rPr>
          <w:rFonts w:cs="Arial"/>
          <w:iCs/>
          <w:sz w:val="24"/>
          <w:szCs w:val="24"/>
        </w:rPr>
        <w:t xml:space="preserve">, Estado de São Paulo, no uso de suas atribuições legais, </w:t>
      </w:r>
      <w:r>
        <w:rPr>
          <w:rFonts w:cs="Arial"/>
          <w:sz w:val="24"/>
          <w:szCs w:val="24"/>
        </w:rPr>
        <w:t xml:space="preserve">e com fundamento </w:t>
      </w:r>
      <w:r>
        <w:rPr>
          <w:rFonts w:cs="Arial"/>
          <w:sz w:val="24"/>
          <w:szCs w:val="24"/>
        </w:rPr>
        <w:t xml:space="preserve">na Lei 1.321/2020; </w:t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/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D E C R E T A: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ascii="Tahoma" w:hAnsi="Tahoma" w:cs="Tahoma"/>
          <w:sz w:val="24"/>
          <w:szCs w:val="24"/>
        </w:rPr>
      </w:pPr>
      <w:r>
        <w:rPr>
          <w:rFonts w:cs="Arial"/>
          <w:b/>
          <w:bCs/>
          <w:iCs/>
          <w:sz w:val="24"/>
          <w:szCs w:val="24"/>
        </w:rPr>
        <w:t>Art. 1º</w:t>
      </w:r>
      <w:r>
        <w:rPr>
          <w:rFonts w:cs="Arial"/>
          <w:iCs/>
          <w:sz w:val="24"/>
          <w:szCs w:val="24"/>
        </w:rPr>
        <w:t xml:space="preserve"> - O Setor Contábil deverá efetuar, através de suplementação de recursos, alterações orçamentárias no valor de</w:t>
      </w:r>
      <w:r>
        <w:rPr>
          <w:rFonts w:cs="Arial"/>
          <w:sz w:val="24"/>
          <w:szCs w:val="24"/>
        </w:rPr>
        <w:t xml:space="preserve"> R$ 26.165,64 (vinte e seis mil, cento e sessenta e cinco reais e sessenta e quatro centavos), para fim de atender o disposto no artigo 1.º § 2.º da lei 1.306 de 01 de julho de 2019: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01.00.00 – Poder Legislativo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01.01.00 – Corpo Legislativo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01.031.0001.2001 – Manutenção das Atividades Legislativas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3.1.90.11 - Vencimentos e Vantagens fixas – pessoal (ficha 01)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 ……………………… R$ 10.0000,00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01.00.00 – Poder Legislativo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01.01.00 – Corpo Legislativo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01.031.0001.2001 – Manutenção das Atividades Legislativas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3.1.90.13 – Obrigações Patronais Intra-Orçamentário  (ficha 03)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 ……………………… R$ 6.0000,00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01.00.00 – Poder Legislativo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01.01.00 – Corpo Legislativo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01.031.0001.2001 – Manutenção das Atividades Legislativas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3.1.90.30 Material de Consumo – pessoal (ficha 05)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 ……………………… R$ 1.780,00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01.00.00 – Poder Legislativo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01.01.00 – Corpo Legislativo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01.031.0001.2001 – Manutenção das Atividades Legislativas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3.33.90.39 -Outros serviços de Terceiros Pessoa Jurídica  (ficha 08)</w:t>
      </w:r>
    </w:p>
    <w:p>
      <w:pPr>
        <w:pStyle w:val="Normal"/>
        <w:ind w:left="0" w:right="0" w:firstLine="15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 ……………………… R$ 8.385,64</w:t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>
          <w:rFonts w:ascii="Tahoma" w:hAnsi="Tahoma" w:cs="Tahoma"/>
          <w:szCs w:val="24"/>
        </w:rPr>
      </w:pPr>
      <w:r>
        <w:rPr>
          <w:rFonts w:cs="Arial" w:ascii="Tahoma" w:hAnsi="Tahoma"/>
          <w:b/>
          <w:sz w:val="24"/>
          <w:szCs w:val="24"/>
        </w:rPr>
        <w:tab/>
        <w:t xml:space="preserve">Total da Suplementação.......................................R$ </w:t>
      </w:r>
      <w:r>
        <w:rPr>
          <w:rFonts w:eastAsia="Times New Roman" w:cs="Arial" w:ascii="Tahoma" w:hAnsi="Tahoma"/>
          <w:b/>
          <w:color w:val="auto"/>
          <w:sz w:val="24"/>
          <w:szCs w:val="24"/>
          <w:lang w:val="pt-BR" w:bidi="ar-SA"/>
        </w:rPr>
        <w:t>26.165,64</w:t>
      </w:r>
    </w:p>
    <w:p>
      <w:pPr>
        <w:pStyle w:val="Normal"/>
        <w:rPr>
          <w:rFonts w:ascii="Tahoma" w:hAnsi="Tahoma" w:cs="Tahoma"/>
          <w:szCs w:val="24"/>
        </w:rPr>
      </w:pPr>
      <w:r>
        <w:rPr>
          <w:rFonts w:cs="Tahoma" w:ascii="Tahoma" w:hAnsi="Tahoma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/>
      </w:r>
    </w:p>
    <w:p>
      <w:pPr>
        <w:pStyle w:val="Normal"/>
        <w:ind w:firstLine="1418"/>
        <w:jc w:val="both"/>
        <w:rPr>
          <w:rFonts w:cs="Arial"/>
          <w:b/>
          <w:b/>
          <w:szCs w:val="22"/>
        </w:rPr>
      </w:pPr>
      <w:r>
        <w:rPr>
          <w:rFonts w:cs="Arial"/>
          <w:b/>
          <w:szCs w:val="22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Art. 2º</w:t>
      </w:r>
      <w:r>
        <w:rPr>
          <w:rFonts w:cs="Arial"/>
          <w:sz w:val="24"/>
          <w:szCs w:val="24"/>
        </w:rPr>
        <w:t xml:space="preserve"> - A suplementação acima mencionada será coberta com a redução das seguintes dotações do orçamento vigente:</w:t>
      </w:r>
    </w:p>
    <w:p>
      <w:pPr>
        <w:pStyle w:val="Normal"/>
        <w:rPr>
          <w:rFonts w:ascii="Tahoma" w:hAnsi="Tahoma" w:cs="Tahoma"/>
          <w:sz w:val="24"/>
          <w:szCs w:val="24"/>
        </w:rPr>
      </w:pPr>
      <w:r>
        <w:rPr/>
      </w:r>
    </w:p>
    <w:p>
      <w:pPr>
        <w:pStyle w:val="Normal"/>
        <w:spacing w:lineRule="auto" w:line="360"/>
        <w:ind w:left="0" w:right="0" w:firstLine="141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02.09.00-Reserva de Contingência</w:t>
      </w:r>
    </w:p>
    <w:p>
      <w:pPr>
        <w:pStyle w:val="Normal"/>
        <w:spacing w:lineRule="auto" w:line="360"/>
        <w:ind w:left="0" w:right="0" w:firstLine="141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02.09.01-Reserva de Contingência</w:t>
      </w:r>
    </w:p>
    <w:p>
      <w:pPr>
        <w:pStyle w:val="Normal"/>
        <w:spacing w:lineRule="auto" w:line="360"/>
        <w:ind w:left="0" w:right="0" w:firstLine="1418"/>
        <w:jc w:val="both"/>
        <w:rPr>
          <w:rFonts w:eastAsia="Times New Roman" w:cs="Arial"/>
          <w:color w:val="auto"/>
          <w:sz w:val="24"/>
          <w:szCs w:val="24"/>
          <w:lang w:val="pt-BR" w:bidi="ar-SA"/>
        </w:rPr>
      </w:pPr>
      <w:r>
        <w:rPr>
          <w:rFonts w:eastAsia="Times New Roman" w:cs="Arial"/>
          <w:color w:val="auto"/>
          <w:sz w:val="24"/>
          <w:szCs w:val="24"/>
          <w:lang w:val="pt-BR" w:bidi="ar-SA"/>
        </w:rPr>
        <w:t>99.999.0018.9999 – Reserva de Contingência</w:t>
      </w:r>
    </w:p>
    <w:p>
      <w:pPr>
        <w:pStyle w:val="Normal"/>
        <w:spacing w:lineRule="auto" w:line="360"/>
        <w:ind w:left="0" w:right="0" w:firstLine="1418"/>
        <w:jc w:val="both"/>
        <w:rPr>
          <w:rFonts w:eastAsia="Times New Roman" w:cs="Arial"/>
          <w:color w:val="auto"/>
          <w:sz w:val="24"/>
          <w:szCs w:val="24"/>
          <w:lang w:val="pt-BR" w:bidi="ar-SA"/>
        </w:rPr>
      </w:pPr>
      <w:r>
        <w:rPr>
          <w:rFonts w:eastAsia="Times New Roman" w:cs="Arial"/>
          <w:color w:val="auto"/>
          <w:sz w:val="24"/>
          <w:szCs w:val="24"/>
          <w:lang w:val="pt-BR" w:bidi="ar-SA"/>
        </w:rPr>
        <w:t>9.9.99.99 – Reserva de Contingência (ficha 230)</w:t>
      </w:r>
    </w:p>
    <w:p>
      <w:pPr>
        <w:pStyle w:val="Normal"/>
        <w:spacing w:lineRule="auto" w:line="360"/>
        <w:ind w:left="0" w:right="0" w:firstLine="1418"/>
        <w:jc w:val="both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Redução.......................................................R$ 26.165,64</w:t>
      </w:r>
    </w:p>
    <w:p>
      <w:pPr>
        <w:pStyle w:val="Normal"/>
        <w:spacing w:lineRule="auto" w:line="360"/>
        <w:ind w:left="0" w:right="0"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Art. 3º</w:t>
      </w:r>
      <w:r>
        <w:rPr>
          <w:rFonts w:cs="Arial"/>
          <w:sz w:val="24"/>
          <w:szCs w:val="24"/>
        </w:rPr>
        <w:t xml:space="preserve"> - Este Decreto entrará em vigor na data de sua publicidade.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/>
          <w:b/>
          <w:iCs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/>
          <w:b/>
          <w:iCs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/>
          <w:b/>
          <w:iCs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Ciente, publique-se. </w:t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ab/>
        <w:t>WILSON GRILLO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ab/>
        <w:t>Governo e Infraestrutura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ab/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5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5405" cy="141605"/>
              <wp:effectExtent l="6350" t="635" r="5715" b="1905"/>
              <wp:wrapSquare wrapText="largest"/>
              <wp:docPr id="2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800" cy="141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stroked="f" style="position:absolute;margin-left:533pt;margin-top:0.05pt;width:5.05pt;height:11.05pt;mso-position-horizontal-relative:page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Rodap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748"/>
      <w:gridCol w:w="10017"/>
    </w:tblGrid>
    <w:tr>
      <w:trPr/>
      <w:tc>
        <w:tcPr>
          <w:tcW w:w="1748" w:type="dxa"/>
          <w:tcBorders>
            <w:bottom w:val="single" w:sz="8" w:space="0" w:color="000000"/>
          </w:tcBorders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Ttulo3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007fb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val="pt-BR" w:eastAsia="ar-SA" w:bidi="ar-SA"/>
    </w:rPr>
  </w:style>
  <w:style w:type="paragraph" w:styleId="Ttulo1">
    <w:name w:val="Heading 1"/>
    <w:basedOn w:val="Normal"/>
    <w:next w:val="Normal"/>
    <w:qFormat/>
    <w:rsid w:val="00e007fb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 w:val="true"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007fb"/>
    <w:rPr/>
  </w:style>
  <w:style w:type="character" w:styleId="AbsatzStandardschriftart" w:customStyle="1">
    <w:name w:val="Absatz-Standardschriftart"/>
    <w:qFormat/>
    <w:rsid w:val="00e007fb"/>
    <w:rPr/>
  </w:style>
  <w:style w:type="character" w:styleId="WWAbsatzStandardschriftart" w:customStyle="1">
    <w:name w:val="WW-Absatz-Standardschriftart"/>
    <w:qFormat/>
    <w:rsid w:val="00e007fb"/>
    <w:rPr/>
  </w:style>
  <w:style w:type="character" w:styleId="WWAbsatzStandardschriftart1" w:customStyle="1">
    <w:name w:val="WW-Absatz-Standardschriftart1"/>
    <w:qFormat/>
    <w:rsid w:val="00e007fb"/>
    <w:rPr/>
  </w:style>
  <w:style w:type="character" w:styleId="WWAbsatzStandardschriftart11" w:customStyle="1">
    <w:name w:val="WW-Absatz-Standardschriftart11"/>
    <w:qFormat/>
    <w:rsid w:val="00e007fb"/>
    <w:rPr/>
  </w:style>
  <w:style w:type="character" w:styleId="WWAbsatzStandardschriftart111" w:customStyle="1">
    <w:name w:val="WW-Absatz-Standardschriftart111"/>
    <w:qFormat/>
    <w:rsid w:val="00e007fb"/>
    <w:rPr/>
  </w:style>
  <w:style w:type="character" w:styleId="WWAbsatzStandardschriftart1111" w:customStyle="1">
    <w:name w:val="WW-Absatz-Standardschriftart1111"/>
    <w:qFormat/>
    <w:rsid w:val="00e007fb"/>
    <w:rPr/>
  </w:style>
  <w:style w:type="character" w:styleId="WWAbsatzStandardschriftart11111" w:customStyle="1">
    <w:name w:val="WW-Absatz-Standardschriftart11111"/>
    <w:qFormat/>
    <w:rsid w:val="00e007fb"/>
    <w:rPr/>
  </w:style>
  <w:style w:type="character" w:styleId="WWAbsatzStandardschriftart111111" w:customStyle="1">
    <w:name w:val="WW-Absatz-Standardschriftart111111"/>
    <w:qFormat/>
    <w:rsid w:val="00e007fb"/>
    <w:rPr/>
  </w:style>
  <w:style w:type="character" w:styleId="Fontepargpadro1" w:customStyle="1">
    <w:name w:val="Fonte parág. padrão1"/>
    <w:qFormat/>
    <w:rsid w:val="00e007fb"/>
    <w:rPr/>
  </w:style>
  <w:style w:type="character" w:styleId="Pagenumber">
    <w:name w:val="page number"/>
    <w:basedOn w:val="Fontepargpadro1"/>
    <w:qFormat/>
    <w:rsid w:val="00e007fb"/>
    <w:rPr/>
  </w:style>
  <w:style w:type="character" w:styleId="Smbolosdenumerao" w:customStyle="1">
    <w:name w:val="Símbolos de numeração"/>
    <w:qFormat/>
    <w:rsid w:val="00e007fb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e007fb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007fb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e007fb"/>
    <w:pPr>
      <w:suppressLineNumbers/>
    </w:pPr>
    <w:rPr>
      <w:rFonts w:cs="Tahoma"/>
    </w:rPr>
  </w:style>
  <w:style w:type="paragraph" w:styleId="Ttulo11" w:customStyle="1">
    <w:name w:val="Título1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007fb"/>
    <w:pPr/>
    <w:rPr/>
  </w:style>
  <w:style w:type="paragraph" w:styleId="Contedodatabela" w:customStyle="1">
    <w:name w:val="Conteúdo da tabela"/>
    <w:basedOn w:val="Normal"/>
    <w:qFormat/>
    <w:rsid w:val="00e007fb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007fb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007fb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t-B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BAC4FC-D839-4AF1-A5FC-DF7731C6C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Application>LibreOffice/6.4.1.2$Windows_X86_64 LibreOffice_project/4d224e95b98b138af42a64d84056446d09082932</Application>
  <Pages>2</Pages>
  <Words>277</Words>
  <Characters>1815</Characters>
  <CharactersWithSpaces>2120</CharactersWithSpaces>
  <Paragraphs>44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2020-01-03T14:40:00Z</dcterms:created>
  <dc:creator>...</dc:creator>
  <dc:description/>
  <dc:language>pt-BR</dc:language>
  <cp:lastModifiedBy/>
  <cp:lastPrinted>2020-03-10T11:17:41Z</cp:lastPrinted>
  <dcterms:modified xsi:type="dcterms:W3CDTF">2020-03-10T11:18:02Z</dcterms:modified>
  <cp:revision>6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